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1B" w:rsidRPr="00CD4150" w:rsidRDefault="004F291B" w:rsidP="004F291B">
      <w:pPr>
        <w:pStyle w:val="Default"/>
        <w:widowControl w:val="0"/>
        <w:jc w:val="center"/>
        <w:rPr>
          <w:rFonts w:ascii="Garamond" w:hAnsi="Garamond"/>
          <w:b/>
          <w:bCs/>
        </w:rPr>
      </w:pPr>
      <w:r w:rsidRPr="00CD4150">
        <w:rPr>
          <w:rFonts w:ascii="Garamond" w:hAnsi="Garamond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6FAB" wp14:editId="34F7DDD2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5715000" cy="1217295"/>
                <wp:effectExtent l="3810" t="0" r="0" b="190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72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91B" w:rsidRPr="002C64FD" w:rsidRDefault="004F291B" w:rsidP="004F291B">
                            <w:pPr>
                              <w:pStyle w:val="Default"/>
                              <w:shd w:val="clear" w:color="auto" w:fill="99FF33"/>
                              <w:spacing w:after="100"/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:rsidR="004F291B" w:rsidRPr="00A63741" w:rsidRDefault="004F291B" w:rsidP="004F291B">
                            <w:pPr>
                              <w:pStyle w:val="Default"/>
                              <w:shd w:val="clear" w:color="auto" w:fill="99FF33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3741"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LEY Nº 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>943</w:t>
                            </w:r>
                          </w:p>
                          <w:p w:rsidR="004F291B" w:rsidRPr="00A63741" w:rsidRDefault="004F291B" w:rsidP="004F291B">
                            <w:pPr>
                              <w:pStyle w:val="Default"/>
                              <w:shd w:val="clear" w:color="auto" w:fill="99FF33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3741"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>LEY DE 1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A63741"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>MAYO</w:t>
                            </w:r>
                            <w:r w:rsidRPr="00A63741"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bCs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B6FA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11.6pt;width:450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" fillcolor="#ddd" stroked="f">
                <v:textbox>
                  <w:txbxContent>
                    <w:p w:rsidR="004F291B" w:rsidRPr="002C64FD" w:rsidRDefault="004F291B" w:rsidP="004F291B">
                      <w:pPr>
                        <w:pStyle w:val="Default"/>
                        <w:shd w:val="clear" w:color="auto" w:fill="99FF33"/>
                        <w:spacing w:after="100"/>
                        <w:jc w:val="center"/>
                        <w:rPr>
                          <w:rFonts w:ascii="Algerian" w:hAnsi="Algerian"/>
                        </w:rPr>
                      </w:pPr>
                    </w:p>
                    <w:p w:rsidR="004F291B" w:rsidRPr="00A63741" w:rsidRDefault="004F291B" w:rsidP="004F291B">
                      <w:pPr>
                        <w:pStyle w:val="Default"/>
                        <w:shd w:val="clear" w:color="auto" w:fill="99FF33"/>
                        <w:jc w:val="center"/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A63741"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 xml:space="preserve">LEY Nº </w:t>
                      </w:r>
                      <w:r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>943</w:t>
                      </w:r>
                    </w:p>
                    <w:p w:rsidR="004F291B" w:rsidRPr="00A63741" w:rsidRDefault="004F291B" w:rsidP="004F291B">
                      <w:pPr>
                        <w:pStyle w:val="Default"/>
                        <w:shd w:val="clear" w:color="auto" w:fill="99FF33"/>
                        <w:jc w:val="center"/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A63741"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>LEY DE 1</w:t>
                      </w:r>
                      <w:r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A63741"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>MAYO</w:t>
                      </w:r>
                      <w:r w:rsidRPr="00A63741"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 xml:space="preserve"> DE </w:t>
                      </w:r>
                      <w:r>
                        <w:rPr>
                          <w:rFonts w:ascii="Arial Rounded MT Bold" w:hAnsi="Arial Rounded MT Bold" w:cs="Aharoni"/>
                          <w:b/>
                          <w:bCs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91B" w:rsidRPr="00A63741" w:rsidRDefault="00050423" w:rsidP="004F291B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Modifica</w:t>
      </w:r>
      <w:r w:rsidRPr="00050423">
        <w:rPr>
          <w:rFonts w:ascii="Garamond" w:hAnsi="Garamond"/>
          <w:b/>
        </w:rPr>
        <w:t xml:space="preserve"> los Artículos 33 y 34 de la Ley N° 1604 de 21 de diciembre de 1994</w:t>
      </w:r>
      <w:r>
        <w:rPr>
          <w:rFonts w:ascii="Garamond" w:hAnsi="Garamond"/>
          <w:b/>
        </w:rPr>
        <w:t>.</w:t>
      </w:r>
    </w:p>
    <w:p w:rsidR="004F291B" w:rsidRDefault="004F291B" w:rsidP="004F291B">
      <w:pPr>
        <w:pBdr>
          <w:bottom w:val="single" w:sz="12" w:space="1" w:color="auto"/>
        </w:pBdr>
        <w:jc w:val="both"/>
        <w:rPr>
          <w:rFonts w:ascii="Garamond" w:hAnsi="Garamond"/>
          <w:b/>
        </w:rPr>
      </w:pPr>
    </w:p>
    <w:p w:rsidR="008E699C" w:rsidRPr="004F291B" w:rsidRDefault="008E699C" w:rsidP="00FE2DD9">
      <w:pPr>
        <w:jc w:val="both"/>
        <w:rPr>
          <w:rFonts w:ascii="Garamond" w:eastAsia="Times New Roman" w:hAnsi="Garamond"/>
        </w:rPr>
      </w:pPr>
    </w:p>
    <w:p w:rsidR="008E699C" w:rsidRPr="004F291B" w:rsidRDefault="008E699C" w:rsidP="008E699C">
      <w:pPr>
        <w:pStyle w:val="NormalWeb"/>
        <w:jc w:val="center"/>
        <w:rPr>
          <w:rFonts w:ascii="Garamond" w:hAnsi="Garamond"/>
        </w:rPr>
      </w:pPr>
      <w:r w:rsidRPr="004F291B">
        <w:rPr>
          <w:rStyle w:val="Textoennegrita"/>
          <w:rFonts w:ascii="Garamond" w:hAnsi="Garamond"/>
          <w:u w:val="single"/>
        </w:rPr>
        <w:t>EVO MORALES AYMA</w:t>
      </w:r>
      <w:r w:rsidRPr="004F291B">
        <w:rPr>
          <w:rFonts w:ascii="Garamond" w:hAnsi="Garamond"/>
        </w:rPr>
        <w:br/>
      </w:r>
      <w:r w:rsidRPr="004F291B">
        <w:rPr>
          <w:rStyle w:val="Textoennegrita"/>
          <w:rFonts w:ascii="Garamond" w:hAnsi="Garamond"/>
          <w:u w:val="single"/>
        </w:rPr>
        <w:t>PRESIDENTE CONSTITUCIONAL DEL ESTADO PLURINACIONAL DE BOLIVIA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t>Por cuanto, la Asamblea Legislativa Plurinacional, ha sancionado la siguiente Ley: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LA ASAMBLEA LEGISLATIVA PLURINACIONAL,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DECRETA: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ARTÍCULO 1. (OBJETO).</w:t>
      </w:r>
      <w:r w:rsidRPr="004F291B">
        <w:rPr>
          <w:rFonts w:ascii="Garamond" w:hAnsi="Garamond"/>
        </w:rPr>
        <w:t xml:space="preserve"> La presente Ley tiene por objeto modificar los Artículos 33 y 34 de la Ley N° 1604 de 21 de diciembre de 1994. 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 xml:space="preserve">ARTÍCULO 2. (MODIFICACIONES). 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I.</w:t>
      </w:r>
      <w:r w:rsidRPr="004F291B">
        <w:rPr>
          <w:rFonts w:ascii="Garamond" w:hAnsi="Garamond"/>
        </w:rPr>
        <w:t xml:space="preserve">            Se incorpora el inciso g) en el Artículo 33 de la Ley N° 1604 de 21 de diciembre de 1994, con el siguiente texto:  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“g) Cuando la intervención administrativa a la empresa eléctrica de distribución, establezca que el sistema intervenido no cuenta con las condiciones para garantizar la continuidad del suministro, afectando el derecho fundamental de acceso al servicio de electricidad.”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II.</w:t>
      </w:r>
      <w:r w:rsidRPr="004F291B">
        <w:rPr>
          <w:rFonts w:ascii="Garamond" w:hAnsi="Garamond"/>
        </w:rPr>
        <w:t xml:space="preserve">          Se modifica el Artículo 34 de la Ley N° 1604 de 21 de diciembre de 1994, con el siguiente texto: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“</w:t>
      </w:r>
      <w:r w:rsidRPr="004F291B">
        <w:rPr>
          <w:rStyle w:val="Textoennegrita"/>
          <w:rFonts w:ascii="Garamond" w:hAnsi="Garamond"/>
          <w:i/>
          <w:iCs/>
        </w:rPr>
        <w:t xml:space="preserve">Artículo 34. (DECLARATORIA DE CADUCIDAD O REVOCATORIA). 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  <w:b/>
          <w:bCs/>
        </w:rPr>
        <w:t xml:space="preserve">I.       </w:t>
      </w:r>
      <w:r w:rsidRPr="004F291B">
        <w:rPr>
          <w:rStyle w:val="nfasis"/>
          <w:rFonts w:ascii="Garamond" w:hAnsi="Garamond"/>
        </w:rPr>
        <w:t>Por las causales señaladas en los incisos a), b), c), d), e) y f) del Artículo 33 de la presente Ley, la Superintendencia de Electricidad, en procedimiento público y mediante resolución administrativa debidamente fundamentada, declarará la caducidad o revocatoria, y de ser necesario dispondrá la intervención mientras se proceda a la licitación, adjudicación y posesión de un nuevo Titular, a fin de asegurar la continuidad del servicio.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Cuando se hubiesen ejecutado todas las instancias respectivas, con sujeción a lo establecido en la Ley N° 1600 (Ley del Sistema de Regulación Sectorial) de fecha 28 de octubre de 1994, la caducidad o revocatoria determinará el cese inmediato de los derechos del Titular, establecidos por Ley y el contrato respectivo. La Superintendencia de Electricidad ejecutará las garantías respectivas.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lastRenderedPageBreak/>
        <w:t>         Las instalaciones, equipos, obras y derechos del Titular cesante, serán transferidos al nuevo titular de acuerdo al valor de libros o el de licitación, el que fuera menor; deduciendo en ambos casos los gastos incurridos en el proceso, multas y sanciones no pagadas.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Toda diferencia mayor que no se deba pagar al Titular cesante, se destinará a financiar proyectos de electrificación en el área rural.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Los acreedores del Titular de la Concesión efectivamente declarada en caducidad o de la Licencia efectivamente revocada, no podrán oponerse, por ningún motivo, a la licitación antes señalada.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  <w:b/>
          <w:bCs/>
        </w:rPr>
        <w:t>II.</w:t>
      </w:r>
      <w:r w:rsidRPr="004F291B">
        <w:rPr>
          <w:rStyle w:val="nfasis"/>
          <w:rFonts w:ascii="Garamond" w:hAnsi="Garamond"/>
        </w:rPr>
        <w:t xml:space="preserve">     Cuando concurra la causal establecida en el inciso g) del Artículo 33 de la presente Ley, el Procedimiento de declaratoria de Caducidad se desarrollará conforme lo siguiente: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El Ente Regulador dispondrá la apertura del procedimiento para la declaratoria de caducidad y su notificación.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El Titular tendrá el plazo de diez (10) días hábiles a partir de la notificación, para contestar a la declaratoria de caducidad exponiendo los argumentos y aportando las pruebas de descargo que crea conveniente a su defensa.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nfasis"/>
          <w:rFonts w:ascii="Garamond" w:hAnsi="Garamond"/>
        </w:rPr>
        <w:t>         Cumplido dicho plazo y dentro de los cinco (5) días hábiles siguientes, con respuesta o sin ella, el ente regulador dictará la Resolución respectiva disponiendo la improcedencia o la procedencia de la declaratoria de caducidad, debiendo en este último caso disponer la transferencia del sistema al Operador Preferente.”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DISPOSICIÓN ADICIONAL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ÚNICA.</w:t>
      </w:r>
      <w:r w:rsidRPr="004F291B">
        <w:rPr>
          <w:rFonts w:ascii="Garamond" w:hAnsi="Garamond"/>
        </w:rPr>
        <w:t xml:space="preserve"> Se exceptúa de la aplicación del Artículo 13 de la Ley N° 1600 de 28 de octubre de 1994, al acto administrativo que determine la caducidad de acuerdo a lo establecido en el Parágrafo II del Artículo 34 de la Ley N° 1604, modificado por el Parágrafo II del Artículo 2 de la presente Ley; a cuyo efecto, la interposición de cualquier recurso no suspenderá la ejecución del acto administrativo, de acuerdo a lo establecido en la Ley N° 2341 de 23 de abril de 2002, de Procedimiento Administrativo. 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DISPOSICIÓN FINAL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ÚNICA.</w:t>
      </w:r>
      <w:r w:rsidRPr="004F291B">
        <w:rPr>
          <w:rFonts w:ascii="Garamond" w:hAnsi="Garamond"/>
        </w:rPr>
        <w:t xml:space="preserve"> Con la finalidad de garantizar la continuidad del Servicio Básico del Suministro de Electricidad, la infraestructura eléctrica e instalaciones eléctricas de los sistemas de distribución transferidos en el marco de la presente Ley, serán restituidas al Operador cesante una vez que el Operador Preferente haya procedido a su reemplazo, en observancia del principio de eficiencia contemplado en el Artículo 3 de la Ley N° 1604 de 21 de diciembre de 1994, de Electricidad.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DISPOSICIÓN ABROGATORIA Y DEROGATORIA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ÚNICA.</w:t>
      </w:r>
      <w:r w:rsidRPr="004F291B">
        <w:rPr>
          <w:rFonts w:ascii="Garamond" w:hAnsi="Garamond"/>
        </w:rPr>
        <w:t xml:space="preserve"> Se abrogan y derogan todas las disposiciones contrarias a la presente Ley.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t>Remítase al Órgano Ejecutivo para fines constitucionales.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t>Es dada en la Sala de Sesiones de la Asamblea Legislativa Plurinacional, a los cuatro días del mes de mayo del año dos mil diecisiete.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lastRenderedPageBreak/>
        <w:t xml:space="preserve">Fdo. José Alberto Gonzales Samaniego, Lilly Gabriela Montaño </w:t>
      </w:r>
      <w:proofErr w:type="spellStart"/>
      <w:r w:rsidRPr="004F291B">
        <w:rPr>
          <w:rFonts w:ascii="Garamond" w:hAnsi="Garamond"/>
        </w:rPr>
        <w:t>Viaña</w:t>
      </w:r>
      <w:proofErr w:type="spellEnd"/>
      <w:r w:rsidRPr="004F291B">
        <w:rPr>
          <w:rStyle w:val="Textoennegrita"/>
          <w:rFonts w:ascii="Garamond" w:hAnsi="Garamond"/>
        </w:rPr>
        <w:t xml:space="preserve">, </w:t>
      </w:r>
      <w:r w:rsidRPr="004F291B">
        <w:rPr>
          <w:rFonts w:ascii="Garamond" w:hAnsi="Garamond"/>
        </w:rPr>
        <w:t xml:space="preserve">Omar Paul Aguilar </w:t>
      </w:r>
      <w:proofErr w:type="spellStart"/>
      <w:r w:rsidRPr="004F291B">
        <w:rPr>
          <w:rFonts w:ascii="Garamond" w:hAnsi="Garamond"/>
        </w:rPr>
        <w:t>Condo</w:t>
      </w:r>
      <w:proofErr w:type="spellEnd"/>
      <w:r w:rsidRPr="004F291B">
        <w:rPr>
          <w:rFonts w:ascii="Garamond" w:hAnsi="Garamond"/>
        </w:rPr>
        <w:t>, Patricia M. Gómez Andrade</w:t>
      </w:r>
      <w:r w:rsidRPr="004F291B">
        <w:rPr>
          <w:rStyle w:val="Textoennegrita"/>
          <w:rFonts w:ascii="Garamond" w:hAnsi="Garamond"/>
        </w:rPr>
        <w:t xml:space="preserve">, </w:t>
      </w:r>
      <w:r w:rsidRPr="004F291B">
        <w:rPr>
          <w:rFonts w:ascii="Garamond" w:hAnsi="Garamond"/>
        </w:rPr>
        <w:t xml:space="preserve">Gonzalo Aguilar </w:t>
      </w:r>
      <w:proofErr w:type="spellStart"/>
      <w:r w:rsidRPr="004F291B">
        <w:rPr>
          <w:rFonts w:ascii="Garamond" w:hAnsi="Garamond"/>
        </w:rPr>
        <w:t>Ayma</w:t>
      </w:r>
      <w:proofErr w:type="spellEnd"/>
      <w:r w:rsidRPr="004F291B">
        <w:rPr>
          <w:rFonts w:ascii="Garamond" w:hAnsi="Garamond"/>
        </w:rPr>
        <w:t>, Dulce María Araujo Domínguez.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t>Por tanto, la promulgo para que se tenga y cumpla como Ley del Estado Plurinacional de Bolivia.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Fonts w:ascii="Garamond" w:hAnsi="Garamond"/>
        </w:rPr>
        <w:t>Palacio de Gobierno de la ciudad de La Paz, a los diez días del mes de mayo del año dos mil diecisiete.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FDO. EVO MORALES AYMA</w:t>
      </w:r>
      <w:r w:rsidRPr="004F291B">
        <w:rPr>
          <w:rFonts w:ascii="Garamond" w:hAnsi="Garamond"/>
        </w:rPr>
        <w:t xml:space="preserve">, René Martínez </w:t>
      </w:r>
      <w:proofErr w:type="spellStart"/>
      <w:r w:rsidRPr="004F291B">
        <w:rPr>
          <w:rFonts w:ascii="Garamond" w:hAnsi="Garamond"/>
        </w:rPr>
        <w:t>Callahuanca</w:t>
      </w:r>
      <w:proofErr w:type="spellEnd"/>
      <w:r w:rsidRPr="004F291B">
        <w:rPr>
          <w:rFonts w:ascii="Garamond" w:hAnsi="Garamond"/>
        </w:rPr>
        <w:t>, Rafael Alarcón Orihuela.</w:t>
      </w:r>
    </w:p>
    <w:p w:rsidR="008E699C" w:rsidRPr="004F291B" w:rsidRDefault="008E699C" w:rsidP="008E699C">
      <w:pPr>
        <w:pStyle w:val="NormalWeb"/>
        <w:jc w:val="both"/>
        <w:rPr>
          <w:rFonts w:ascii="Garamond" w:hAnsi="Garamond"/>
        </w:rPr>
      </w:pPr>
      <w:r w:rsidRPr="004F291B">
        <w:rPr>
          <w:rStyle w:val="Textoennegrita"/>
          <w:rFonts w:ascii="Garamond" w:hAnsi="Garamond"/>
        </w:rPr>
        <w:t>SUSCRIPCION OBLIGATORIA</w:t>
      </w:r>
      <w:r w:rsidRPr="004F291B">
        <w:rPr>
          <w:rFonts w:ascii="Garamond" w:hAnsi="Garamond"/>
        </w:rPr>
        <w:t xml:space="preserve"> </w:t>
      </w:r>
    </w:p>
    <w:p w:rsidR="008E699C" w:rsidRPr="004F291B" w:rsidRDefault="008E699C" w:rsidP="008E699C">
      <w:pPr>
        <w:jc w:val="both"/>
        <w:rPr>
          <w:rFonts w:ascii="Garamond" w:eastAsia="Times New Roman" w:hAnsi="Garamond"/>
        </w:rPr>
      </w:pPr>
      <w:r w:rsidRPr="004F291B">
        <w:rPr>
          <w:rStyle w:val="Textoennegrita"/>
          <w:rFonts w:ascii="Garamond" w:eastAsia="Times New Roman" w:hAnsi="Garamond"/>
        </w:rPr>
        <w:t>DECRETO SUPREMO Nº 690</w:t>
      </w:r>
      <w:r w:rsidRPr="004F291B">
        <w:rPr>
          <w:rFonts w:ascii="Garamond" w:eastAsia="Times New Roman" w:hAnsi="Garamond"/>
        </w:rPr>
        <w:t xml:space="preserve"> </w:t>
      </w:r>
    </w:p>
    <w:p w:rsidR="008E699C" w:rsidRPr="004F291B" w:rsidRDefault="008E699C" w:rsidP="008E699C">
      <w:pPr>
        <w:jc w:val="both"/>
        <w:rPr>
          <w:rFonts w:ascii="Garamond" w:eastAsia="Times New Roman" w:hAnsi="Garamond"/>
        </w:rPr>
      </w:pPr>
      <w:r w:rsidRPr="004F291B">
        <w:rPr>
          <w:rFonts w:ascii="Garamond" w:eastAsia="Times New Roman" w:hAnsi="Garamond"/>
        </w:rPr>
        <w:br/>
      </w:r>
      <w:r w:rsidRPr="004F291B">
        <w:rPr>
          <w:rStyle w:val="Textoennegrita"/>
          <w:rFonts w:ascii="Garamond" w:eastAsia="Times New Roman" w:hAnsi="Garamond"/>
        </w:rPr>
        <w:t xml:space="preserve">03 DE NOVIEMBRE DE 2010.- </w:t>
      </w:r>
      <w:r w:rsidRPr="004F291B">
        <w:rPr>
          <w:rFonts w:ascii="Garamond" w:eastAsia="Times New Roman" w:hAnsi="Garamond"/>
        </w:rPr>
        <w:t xml:space="preserve">Dispone la suscripción obligatoria, sin excepción alguna, de todas las entidades del sector público que conforman la estructura organizativa del </w:t>
      </w:r>
      <w:r w:rsidR="0036485D" w:rsidRPr="004F291B">
        <w:rPr>
          <w:rFonts w:ascii="Garamond" w:eastAsia="Times New Roman" w:hAnsi="Garamond"/>
        </w:rPr>
        <w:t>Órgano</w:t>
      </w:r>
      <w:bookmarkStart w:id="0" w:name="_GoBack"/>
      <w:bookmarkEnd w:id="0"/>
      <w:r w:rsidRPr="004F291B">
        <w:rPr>
          <w:rFonts w:ascii="Garamond" w:eastAsia="Times New Roman" w:hAnsi="Garamond"/>
        </w:rPr>
        <w:t xml:space="preserve"> Ejecutivo, así como de entidades y empresas públicas que se encuentran bajo su dependencia o tuición, a la Gaceta Oficial de Bolivia, dependiente del Ministerio de la Presidencia, para la obtención física de Leyes, Decretos y Resoluciones Supremas.</w:t>
      </w:r>
    </w:p>
    <w:sectPr w:rsidR="008E699C" w:rsidRPr="004F291B" w:rsidSect="00FE2DD9">
      <w:pgSz w:w="12240" w:h="15840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9"/>
    <w:rsid w:val="00050423"/>
    <w:rsid w:val="00104D1E"/>
    <w:rsid w:val="0036485D"/>
    <w:rsid w:val="004F291B"/>
    <w:rsid w:val="005B0DDB"/>
    <w:rsid w:val="008E699C"/>
    <w:rsid w:val="00BA23D0"/>
    <w:rsid w:val="00DB14AF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01CE-94B0-4177-ABB0-5B1F6EA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customStyle="1" w:styleId="Default">
    <w:name w:val="Default"/>
    <w:rsid w:val="004F29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sin título</vt:lpstr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</dc:title>
  <dc:subject/>
  <dc:creator>Silvestre</dc:creator>
  <cp:keywords/>
  <dc:description/>
  <cp:lastModifiedBy>Usuario</cp:lastModifiedBy>
  <cp:revision>5</cp:revision>
  <dcterms:created xsi:type="dcterms:W3CDTF">2017-10-02T21:56:00Z</dcterms:created>
  <dcterms:modified xsi:type="dcterms:W3CDTF">2017-10-02T22:08:00Z</dcterms:modified>
</cp:coreProperties>
</file>